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A04A" w14:textId="77777777" w:rsidR="003C7633" w:rsidRDefault="003C7633" w:rsidP="009B01F3">
      <w:pPr>
        <w:spacing w:after="0" w:line="360" w:lineRule="auto"/>
        <w:ind w:hanging="11"/>
        <w:contextualSpacing/>
        <w:rPr>
          <w:rFonts w:ascii="Arial" w:hAnsi="Arial" w:cs="Arial"/>
          <w:b/>
          <w:bCs/>
        </w:rPr>
      </w:pPr>
    </w:p>
    <w:p w14:paraId="0D5ABCE5" w14:textId="77777777" w:rsidR="002354AA" w:rsidRDefault="002354AA" w:rsidP="00510842">
      <w:pPr>
        <w:tabs>
          <w:tab w:val="left" w:pos="5284"/>
        </w:tabs>
        <w:spacing w:after="0" w:line="360" w:lineRule="auto"/>
        <w:ind w:hanging="11"/>
        <w:contextualSpacing/>
        <w:rPr>
          <w:rFonts w:ascii="Arial" w:hAnsi="Arial" w:cs="Arial"/>
          <w:b/>
          <w:bCs/>
        </w:rPr>
      </w:pPr>
    </w:p>
    <w:p w14:paraId="670905A8" w14:textId="6D0D4487" w:rsidR="003C7633" w:rsidRDefault="003C7633" w:rsidP="00510842">
      <w:pPr>
        <w:tabs>
          <w:tab w:val="left" w:pos="5284"/>
        </w:tabs>
        <w:spacing w:after="0" w:line="360" w:lineRule="auto"/>
        <w:ind w:hanging="11"/>
        <w:contextualSpacing/>
        <w:rPr>
          <w:rFonts w:ascii="Arial" w:hAnsi="Arial" w:cs="Arial"/>
          <w:b/>
          <w:bCs/>
        </w:rPr>
      </w:pPr>
      <w:r w:rsidRPr="003C7633">
        <w:rPr>
          <w:rFonts w:ascii="Arial" w:hAnsi="Arial" w:cs="Arial"/>
          <w:b/>
          <w:bCs/>
        </w:rPr>
        <w:t>Role Profile</w:t>
      </w:r>
    </w:p>
    <w:p w14:paraId="07DD1FDA" w14:textId="77777777" w:rsidR="002354AA" w:rsidRPr="002354AA" w:rsidRDefault="002354AA" w:rsidP="00510842">
      <w:pPr>
        <w:tabs>
          <w:tab w:val="left" w:pos="5284"/>
        </w:tabs>
        <w:spacing w:after="0" w:line="360" w:lineRule="auto"/>
        <w:ind w:hanging="11"/>
        <w:contextualSpacing/>
        <w:rPr>
          <w:rFonts w:ascii="Arial" w:hAnsi="Arial" w:cs="Arial"/>
          <w:b/>
          <w:bCs/>
          <w:sz w:val="16"/>
          <w:szCs w:val="16"/>
        </w:rPr>
      </w:pPr>
    </w:p>
    <w:p w14:paraId="602AFCF5" w14:textId="77777777" w:rsidR="003C7633" w:rsidRPr="003C7633" w:rsidRDefault="003C7633" w:rsidP="009B01F3">
      <w:pPr>
        <w:spacing w:after="0" w:line="360" w:lineRule="auto"/>
        <w:ind w:hanging="11"/>
        <w:contextualSpacing/>
        <w:rPr>
          <w:rFonts w:ascii="Arial" w:hAnsi="Arial" w:cs="Arial"/>
          <w:b/>
          <w:bCs/>
        </w:rPr>
      </w:pPr>
      <w:r w:rsidRPr="003C7633">
        <w:rPr>
          <w:rFonts w:ascii="Arial" w:hAnsi="Arial" w:cs="Arial"/>
          <w:b/>
          <w:bCs/>
        </w:rPr>
        <w:t>Independent Chair – Neighbourhood Board - Pride in Place Programme</w:t>
      </w:r>
    </w:p>
    <w:p w14:paraId="6C3737AA" w14:textId="0564B272" w:rsidR="003C7633" w:rsidRDefault="003C7633" w:rsidP="009B01F3">
      <w:pPr>
        <w:spacing w:after="0" w:line="360" w:lineRule="auto"/>
        <w:ind w:hanging="11"/>
        <w:contextualSpacing/>
        <w:rPr>
          <w:rFonts w:ascii="Arial" w:hAnsi="Arial" w:cs="Arial"/>
          <w:b/>
          <w:bCs/>
        </w:rPr>
      </w:pPr>
      <w:r w:rsidRPr="003C7633">
        <w:rPr>
          <w:rFonts w:ascii="Arial" w:hAnsi="Arial" w:cs="Arial"/>
          <w:b/>
          <w:bCs/>
        </w:rPr>
        <w:t>Flimby, Ellenborough and Broughton Moor.</w:t>
      </w:r>
    </w:p>
    <w:p w14:paraId="4AB53011" w14:textId="77777777" w:rsidR="009B01F3" w:rsidRPr="003C7633" w:rsidRDefault="009B01F3" w:rsidP="009B01F3">
      <w:pPr>
        <w:spacing w:after="0" w:line="240" w:lineRule="auto"/>
        <w:ind w:left="11" w:hanging="11"/>
        <w:contextualSpacing/>
        <w:rPr>
          <w:rFonts w:ascii="Arial" w:hAnsi="Arial" w:cs="Arial"/>
          <w:b/>
          <w:bCs/>
        </w:rPr>
      </w:pPr>
    </w:p>
    <w:p w14:paraId="1D5F6DD8" w14:textId="77777777" w:rsidR="003C7633" w:rsidRPr="003C7633" w:rsidRDefault="003C7633" w:rsidP="009B01F3">
      <w:pPr>
        <w:spacing w:after="0" w:line="360" w:lineRule="auto"/>
        <w:ind w:hanging="11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As part of a £5 billion nationwide initiative, the government's Pride in Place</w:t>
      </w:r>
    </w:p>
    <w:p w14:paraId="4B86C921" w14:textId="75FEF6E8" w:rsidR="003C7633" w:rsidRDefault="003C7633" w:rsidP="009B01F3">
      <w:pPr>
        <w:spacing w:after="0" w:line="360" w:lineRule="auto"/>
        <w:ind w:hanging="11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programme has allocated</w:t>
      </w:r>
      <w:r>
        <w:rPr>
          <w:rFonts w:ascii="Arial" w:hAnsi="Arial" w:cs="Arial"/>
        </w:rPr>
        <w:t xml:space="preserve"> up to</w:t>
      </w:r>
      <w:r w:rsidRPr="003C7633">
        <w:rPr>
          <w:rFonts w:ascii="Arial" w:hAnsi="Arial" w:cs="Arial"/>
        </w:rPr>
        <w:t xml:space="preserve"> £20 million over 10 years to each of the three Cumberland</w:t>
      </w:r>
      <w:r>
        <w:rPr>
          <w:rFonts w:ascii="Arial" w:hAnsi="Arial" w:cs="Arial"/>
        </w:rPr>
        <w:t xml:space="preserve"> </w:t>
      </w:r>
      <w:r w:rsidRPr="003C7633">
        <w:rPr>
          <w:rFonts w:ascii="Arial" w:hAnsi="Arial" w:cs="Arial"/>
        </w:rPr>
        <w:t>neighbourhoods of</w:t>
      </w:r>
      <w:r>
        <w:rPr>
          <w:rFonts w:ascii="Arial" w:hAnsi="Arial" w:cs="Arial"/>
        </w:rPr>
        <w:t>:</w:t>
      </w:r>
    </w:p>
    <w:p w14:paraId="7515D2E3" w14:textId="77777777" w:rsidR="009B01F3" w:rsidRDefault="009B01F3" w:rsidP="009B01F3">
      <w:pPr>
        <w:spacing w:after="0" w:line="240" w:lineRule="auto"/>
        <w:ind w:hanging="11"/>
        <w:contextualSpacing/>
        <w:rPr>
          <w:rFonts w:ascii="Arial" w:hAnsi="Arial" w:cs="Arial"/>
        </w:rPr>
      </w:pPr>
    </w:p>
    <w:p w14:paraId="31DAF14B" w14:textId="3A19E3E8" w:rsidR="003C7633" w:rsidRPr="003C7633" w:rsidRDefault="003C7633" w:rsidP="009B01F3">
      <w:pPr>
        <w:spacing w:after="0" w:line="360" w:lineRule="auto"/>
        <w:ind w:firstLine="676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● Raffles and Morton</w:t>
      </w:r>
    </w:p>
    <w:p w14:paraId="37679939" w14:textId="0E49028B" w:rsidR="003C7633" w:rsidRPr="003C7633" w:rsidRDefault="003C7633" w:rsidP="009B01F3">
      <w:pPr>
        <w:spacing w:after="0" w:line="360" w:lineRule="auto"/>
        <w:ind w:firstLine="676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● Flimby, Ellenborough and Broughton Moor</w:t>
      </w:r>
    </w:p>
    <w:p w14:paraId="2FE778B8" w14:textId="5E0EF552" w:rsidR="003C7633" w:rsidRDefault="003C7633" w:rsidP="009B01F3">
      <w:pPr>
        <w:spacing w:after="0" w:line="360" w:lineRule="auto"/>
        <w:ind w:firstLine="676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● Mirehouse, Kells, Woodhouse, Greenbank, and Sandwith</w:t>
      </w:r>
    </w:p>
    <w:p w14:paraId="2A7270BD" w14:textId="77777777" w:rsidR="009B01F3" w:rsidRPr="003C7633" w:rsidRDefault="009B01F3" w:rsidP="009B01F3">
      <w:pPr>
        <w:spacing w:after="0" w:line="240" w:lineRule="auto"/>
        <w:ind w:firstLine="675"/>
        <w:contextualSpacing/>
        <w:rPr>
          <w:rFonts w:ascii="Arial" w:hAnsi="Arial" w:cs="Arial"/>
        </w:rPr>
      </w:pPr>
    </w:p>
    <w:p w14:paraId="3EE0A600" w14:textId="77777777" w:rsidR="003C7633" w:rsidRPr="003C7633" w:rsidRDefault="003C7633" w:rsidP="009B01F3">
      <w:pPr>
        <w:spacing w:after="0" w:line="360" w:lineRule="auto"/>
        <w:ind w:hanging="11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The £20 million investment for each neighbourhood will be managed by local</w:t>
      </w:r>
    </w:p>
    <w:p w14:paraId="4B4D32A1" w14:textId="77777777" w:rsidR="003C7633" w:rsidRPr="003C7633" w:rsidRDefault="003C7633" w:rsidP="009B01F3">
      <w:pPr>
        <w:spacing w:after="0" w:line="360" w:lineRule="auto"/>
        <w:ind w:hanging="11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residents and community groups, not by central government. The funding aims to</w:t>
      </w:r>
    </w:p>
    <w:p w14:paraId="6B9C2227" w14:textId="77777777" w:rsidR="003C7633" w:rsidRDefault="003C7633" w:rsidP="009B01F3">
      <w:pPr>
        <w:spacing w:after="0" w:line="360" w:lineRule="auto"/>
        <w:ind w:hanging="11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achieve three core objectives:</w:t>
      </w:r>
    </w:p>
    <w:p w14:paraId="7110C6C1" w14:textId="77777777" w:rsidR="009B01F3" w:rsidRPr="003C7633" w:rsidRDefault="009B01F3" w:rsidP="009B01F3">
      <w:pPr>
        <w:spacing w:after="0" w:line="240" w:lineRule="auto"/>
        <w:ind w:hanging="11"/>
        <w:contextualSpacing/>
        <w:rPr>
          <w:rFonts w:ascii="Arial" w:hAnsi="Arial" w:cs="Arial"/>
        </w:rPr>
      </w:pPr>
    </w:p>
    <w:p w14:paraId="5FD71FF0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● Build stronger communities: Improve community cohesion and belonging by</w:t>
      </w:r>
    </w:p>
    <w:p w14:paraId="5AF11812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enhancing shared spaces.</w:t>
      </w:r>
    </w:p>
    <w:p w14:paraId="0FF9C778" w14:textId="6142A1B0" w:rsidR="003C7633" w:rsidRPr="003C7633" w:rsidRDefault="003C7633" w:rsidP="009B01F3">
      <w:pPr>
        <w:spacing w:after="0" w:line="360" w:lineRule="auto"/>
        <w:ind w:left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● Create thriving places: Revitalize high streets and public spaces and improve</w:t>
      </w:r>
      <w:r>
        <w:rPr>
          <w:rFonts w:ascii="Arial" w:hAnsi="Arial" w:cs="Arial"/>
        </w:rPr>
        <w:t xml:space="preserve"> </w:t>
      </w:r>
      <w:r w:rsidRPr="003C7633">
        <w:rPr>
          <w:rFonts w:ascii="Arial" w:hAnsi="Arial" w:cs="Arial"/>
        </w:rPr>
        <w:t>amenities.</w:t>
      </w:r>
    </w:p>
    <w:p w14:paraId="7C6602C2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 xml:space="preserve">● Empower people to take back control: Give local people a direct say in </w:t>
      </w:r>
      <w:proofErr w:type="gramStart"/>
      <w:r w:rsidRPr="003C7633">
        <w:rPr>
          <w:rFonts w:ascii="Arial" w:hAnsi="Arial" w:cs="Arial"/>
        </w:rPr>
        <w:t>their</w:t>
      </w:r>
      <w:proofErr w:type="gramEnd"/>
    </w:p>
    <w:p w14:paraId="04861D81" w14:textId="282686DA" w:rsidR="009B01F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community's future.</w:t>
      </w:r>
    </w:p>
    <w:p w14:paraId="12B29E40" w14:textId="77777777" w:rsidR="009B01F3" w:rsidRPr="003C7633" w:rsidRDefault="009B01F3" w:rsidP="009B01F3">
      <w:pPr>
        <w:spacing w:after="0" w:line="240" w:lineRule="auto"/>
        <w:ind w:firstLine="720"/>
        <w:contextualSpacing/>
        <w:rPr>
          <w:rFonts w:ascii="Arial" w:hAnsi="Arial" w:cs="Arial"/>
        </w:rPr>
      </w:pPr>
    </w:p>
    <w:p w14:paraId="30DB2A7A" w14:textId="77777777" w:rsidR="003C7633" w:rsidRPr="003C7633" w:rsidRDefault="003C7633" w:rsidP="009B01F3">
      <w:pPr>
        <w:spacing w:after="0" w:line="360" w:lineRule="auto"/>
        <w:ind w:hanging="11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 xml:space="preserve">As Chair you will act as a champion for the Pride in Place Programme, convening </w:t>
      </w:r>
    </w:p>
    <w:p w14:paraId="464624DC" w14:textId="215B5669" w:rsidR="003C7633" w:rsidRDefault="003C7633" w:rsidP="009B01F3">
      <w:pPr>
        <w:spacing w:after="0" w:line="360" w:lineRule="auto"/>
        <w:ind w:hanging="11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 xml:space="preserve">and leading the Neighbourhood Board. You will work closely with the </w:t>
      </w:r>
      <w:r w:rsidR="009B01F3" w:rsidRPr="003C7633">
        <w:rPr>
          <w:rFonts w:ascii="Arial" w:hAnsi="Arial" w:cs="Arial"/>
        </w:rPr>
        <w:t>Member of Parliament (MP)</w:t>
      </w:r>
      <w:r w:rsidRPr="003C7633">
        <w:rPr>
          <w:rFonts w:ascii="Arial" w:hAnsi="Arial" w:cs="Arial"/>
        </w:rPr>
        <w:t>, Council</w:t>
      </w:r>
      <w:r w:rsidR="009B01F3">
        <w:rPr>
          <w:rFonts w:ascii="Arial" w:hAnsi="Arial" w:cs="Arial"/>
        </w:rPr>
        <w:t xml:space="preserve"> </w:t>
      </w:r>
      <w:r w:rsidRPr="003C7633">
        <w:rPr>
          <w:rFonts w:ascii="Arial" w:hAnsi="Arial" w:cs="Arial"/>
        </w:rPr>
        <w:t>Officers and partners in providing strategic oversight, champion community</w:t>
      </w:r>
      <w:r w:rsidR="009B01F3">
        <w:rPr>
          <w:rFonts w:ascii="Arial" w:hAnsi="Arial" w:cs="Arial"/>
        </w:rPr>
        <w:t xml:space="preserve"> </w:t>
      </w:r>
      <w:r w:rsidRPr="003C7633">
        <w:rPr>
          <w:rFonts w:ascii="Arial" w:hAnsi="Arial" w:cs="Arial"/>
        </w:rPr>
        <w:t>engagement, and ensure delivery of outcomes. This is a unique opportunity to shape</w:t>
      </w:r>
      <w:r w:rsidR="009B01F3">
        <w:rPr>
          <w:rFonts w:ascii="Arial" w:hAnsi="Arial" w:cs="Arial"/>
        </w:rPr>
        <w:t xml:space="preserve"> </w:t>
      </w:r>
      <w:r w:rsidRPr="003C7633">
        <w:rPr>
          <w:rFonts w:ascii="Arial" w:hAnsi="Arial" w:cs="Arial"/>
        </w:rPr>
        <w:t xml:space="preserve">the future of our communities and leave </w:t>
      </w:r>
      <w:proofErr w:type="gramStart"/>
      <w:r w:rsidRPr="003C7633">
        <w:rPr>
          <w:rFonts w:ascii="Arial" w:hAnsi="Arial" w:cs="Arial"/>
        </w:rPr>
        <w:t>a lasting legacy</w:t>
      </w:r>
      <w:proofErr w:type="gramEnd"/>
      <w:r w:rsidRPr="003C7633">
        <w:rPr>
          <w:rFonts w:ascii="Arial" w:hAnsi="Arial" w:cs="Arial"/>
        </w:rPr>
        <w:t>.</w:t>
      </w:r>
    </w:p>
    <w:p w14:paraId="29D0FC7E" w14:textId="77777777" w:rsidR="009B01F3" w:rsidRPr="003C7633" w:rsidRDefault="009B01F3" w:rsidP="009B01F3">
      <w:pPr>
        <w:spacing w:after="0" w:line="240" w:lineRule="auto"/>
        <w:ind w:hanging="11"/>
        <w:contextualSpacing/>
        <w:rPr>
          <w:rFonts w:ascii="Arial" w:hAnsi="Arial" w:cs="Arial"/>
        </w:rPr>
      </w:pPr>
    </w:p>
    <w:p w14:paraId="0C00F726" w14:textId="77777777" w:rsidR="003C7633" w:rsidRDefault="003C7633" w:rsidP="009B01F3">
      <w:pPr>
        <w:spacing w:after="0" w:line="360" w:lineRule="auto"/>
        <w:ind w:hanging="11"/>
        <w:contextualSpacing/>
        <w:rPr>
          <w:rFonts w:ascii="Arial" w:hAnsi="Arial" w:cs="Arial"/>
        </w:rPr>
      </w:pPr>
      <w:r w:rsidRPr="009B01F3">
        <w:rPr>
          <w:rFonts w:ascii="Arial" w:hAnsi="Arial" w:cs="Arial"/>
          <w:b/>
          <w:bCs/>
        </w:rPr>
        <w:t>Employer:</w:t>
      </w:r>
      <w:r w:rsidRPr="003C7633">
        <w:rPr>
          <w:rFonts w:ascii="Arial" w:hAnsi="Arial" w:cs="Arial"/>
        </w:rPr>
        <w:t xml:space="preserve"> Cumberland Council</w:t>
      </w:r>
    </w:p>
    <w:p w14:paraId="3160B2E3" w14:textId="77777777" w:rsidR="009B01F3" w:rsidRPr="003C7633" w:rsidRDefault="009B01F3" w:rsidP="009B01F3">
      <w:pPr>
        <w:spacing w:after="0" w:line="240" w:lineRule="auto"/>
        <w:ind w:hanging="11"/>
        <w:contextualSpacing/>
        <w:rPr>
          <w:rFonts w:ascii="Arial" w:hAnsi="Arial" w:cs="Arial"/>
        </w:rPr>
      </w:pPr>
    </w:p>
    <w:p w14:paraId="1C161D83" w14:textId="77777777" w:rsidR="003C7633" w:rsidRPr="009B01F3" w:rsidRDefault="003C7633" w:rsidP="009B01F3">
      <w:pPr>
        <w:spacing w:after="0" w:line="360" w:lineRule="auto"/>
        <w:ind w:hanging="11"/>
        <w:contextualSpacing/>
        <w:rPr>
          <w:rFonts w:ascii="Arial" w:hAnsi="Arial" w:cs="Arial"/>
          <w:b/>
          <w:bCs/>
        </w:rPr>
      </w:pPr>
      <w:r w:rsidRPr="009B01F3">
        <w:rPr>
          <w:rFonts w:ascii="Arial" w:hAnsi="Arial" w:cs="Arial"/>
          <w:b/>
          <w:bCs/>
        </w:rPr>
        <w:lastRenderedPageBreak/>
        <w:t>Reporting To</w:t>
      </w:r>
    </w:p>
    <w:p w14:paraId="1776E09E" w14:textId="52B4F6E2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● Local MP</w:t>
      </w:r>
    </w:p>
    <w:p w14:paraId="4693BF73" w14:textId="77777777" w:rsid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● Local Authority</w:t>
      </w:r>
    </w:p>
    <w:p w14:paraId="66C7C5BD" w14:textId="77777777" w:rsidR="009B01F3" w:rsidRPr="003C7633" w:rsidRDefault="009B01F3" w:rsidP="009B01F3">
      <w:pPr>
        <w:spacing w:after="0" w:line="240" w:lineRule="auto"/>
        <w:ind w:firstLine="720"/>
        <w:contextualSpacing/>
        <w:rPr>
          <w:rFonts w:ascii="Arial" w:hAnsi="Arial" w:cs="Arial"/>
        </w:rPr>
      </w:pPr>
    </w:p>
    <w:p w14:paraId="2D248581" w14:textId="77777777" w:rsidR="003C7633" w:rsidRPr="009B01F3" w:rsidRDefault="003C7633" w:rsidP="009B01F3">
      <w:pPr>
        <w:spacing w:after="0" w:line="360" w:lineRule="auto"/>
        <w:ind w:hanging="11"/>
        <w:contextualSpacing/>
        <w:rPr>
          <w:rFonts w:ascii="Arial" w:hAnsi="Arial" w:cs="Arial"/>
          <w:b/>
          <w:bCs/>
        </w:rPr>
      </w:pPr>
      <w:r w:rsidRPr="009B01F3">
        <w:rPr>
          <w:rFonts w:ascii="Arial" w:hAnsi="Arial" w:cs="Arial"/>
          <w:b/>
          <w:bCs/>
        </w:rPr>
        <w:t>Supported By</w:t>
      </w:r>
    </w:p>
    <w:p w14:paraId="6D2280D3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● Neighbourhood Board</w:t>
      </w:r>
    </w:p>
    <w:p w14:paraId="5FB50C1F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● Local Authority Officers</w:t>
      </w:r>
    </w:p>
    <w:p w14:paraId="3F9EE9A3" w14:textId="2A4D4E65" w:rsid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 xml:space="preserve">● Local </w:t>
      </w:r>
      <w:r w:rsidR="009B01F3" w:rsidRPr="003C7633">
        <w:rPr>
          <w:rFonts w:ascii="Arial" w:hAnsi="Arial" w:cs="Arial"/>
        </w:rPr>
        <w:t>MP</w:t>
      </w:r>
    </w:p>
    <w:p w14:paraId="42742BD1" w14:textId="77777777" w:rsidR="009B01F3" w:rsidRPr="003C7633" w:rsidRDefault="009B01F3" w:rsidP="009B01F3">
      <w:pPr>
        <w:spacing w:after="0" w:line="240" w:lineRule="auto"/>
        <w:ind w:hanging="11"/>
        <w:contextualSpacing/>
        <w:rPr>
          <w:rFonts w:ascii="Arial" w:hAnsi="Arial" w:cs="Arial"/>
        </w:rPr>
      </w:pPr>
    </w:p>
    <w:p w14:paraId="4E75ED07" w14:textId="2E567A7E" w:rsidR="003C7633" w:rsidRDefault="003C7633" w:rsidP="002354AA">
      <w:pPr>
        <w:spacing w:after="0" w:line="360" w:lineRule="auto"/>
        <w:ind w:hanging="11"/>
        <w:contextualSpacing/>
        <w:rPr>
          <w:rFonts w:ascii="Arial" w:hAnsi="Arial" w:cs="Arial"/>
        </w:rPr>
      </w:pPr>
      <w:r w:rsidRPr="009B01F3">
        <w:rPr>
          <w:rFonts w:ascii="Arial" w:hAnsi="Arial" w:cs="Arial"/>
          <w:b/>
          <w:bCs/>
        </w:rPr>
        <w:t>Location:</w:t>
      </w:r>
      <w:r w:rsidRPr="003C7633">
        <w:rPr>
          <w:rFonts w:ascii="Arial" w:hAnsi="Arial" w:cs="Arial"/>
        </w:rPr>
        <w:t xml:space="preserve"> </w:t>
      </w:r>
      <w:r w:rsidR="009B01F3">
        <w:rPr>
          <w:rFonts w:ascii="Arial" w:hAnsi="Arial" w:cs="Arial"/>
        </w:rPr>
        <w:t>Flimby, Ellenborough and Broughton Moor</w:t>
      </w:r>
    </w:p>
    <w:p w14:paraId="1D130514" w14:textId="77777777" w:rsidR="003C7633" w:rsidRDefault="003C7633" w:rsidP="002354AA">
      <w:pPr>
        <w:spacing w:after="0" w:line="360" w:lineRule="auto"/>
        <w:ind w:hanging="11"/>
        <w:contextualSpacing/>
        <w:rPr>
          <w:rFonts w:ascii="Arial" w:hAnsi="Arial" w:cs="Arial"/>
        </w:rPr>
      </w:pPr>
      <w:r w:rsidRPr="009B01F3">
        <w:rPr>
          <w:rFonts w:ascii="Arial" w:hAnsi="Arial" w:cs="Arial"/>
          <w:b/>
          <w:bCs/>
        </w:rPr>
        <w:t>Salary:</w:t>
      </w:r>
      <w:r w:rsidRPr="003C7633">
        <w:rPr>
          <w:rFonts w:ascii="Arial" w:hAnsi="Arial" w:cs="Arial"/>
        </w:rPr>
        <w:t xml:space="preserve"> This is an unpaid voluntary role. Reasonable expenses will be reimbursed.</w:t>
      </w:r>
    </w:p>
    <w:p w14:paraId="7DB69A71" w14:textId="77777777" w:rsidR="003C7633" w:rsidRPr="003C7633" w:rsidRDefault="003C7633" w:rsidP="002354AA">
      <w:pPr>
        <w:spacing w:after="0" w:line="360" w:lineRule="auto"/>
        <w:ind w:hanging="11"/>
        <w:contextualSpacing/>
        <w:rPr>
          <w:rFonts w:ascii="Arial" w:hAnsi="Arial" w:cs="Arial"/>
        </w:rPr>
      </w:pPr>
      <w:r w:rsidRPr="009B01F3">
        <w:rPr>
          <w:rFonts w:ascii="Arial" w:hAnsi="Arial" w:cs="Arial"/>
          <w:b/>
          <w:bCs/>
        </w:rPr>
        <w:t>Commitment:</w:t>
      </w:r>
      <w:r w:rsidRPr="003C7633">
        <w:rPr>
          <w:rFonts w:ascii="Arial" w:hAnsi="Arial" w:cs="Arial"/>
        </w:rPr>
        <w:t xml:space="preserve"> Part-time, flexible hours. Approximately 8 – 10 hours per month</w:t>
      </w:r>
    </w:p>
    <w:p w14:paraId="76915087" w14:textId="77777777" w:rsidR="009B01F3" w:rsidRDefault="009B01F3" w:rsidP="009B01F3">
      <w:pPr>
        <w:spacing w:after="0" w:line="240" w:lineRule="auto"/>
        <w:ind w:hanging="11"/>
        <w:contextualSpacing/>
        <w:rPr>
          <w:rFonts w:ascii="Arial" w:hAnsi="Arial" w:cs="Arial"/>
        </w:rPr>
      </w:pPr>
    </w:p>
    <w:p w14:paraId="614FDA82" w14:textId="28F5BE46" w:rsidR="003C7633" w:rsidRPr="009B01F3" w:rsidRDefault="003C7633" w:rsidP="009B01F3">
      <w:pPr>
        <w:spacing w:after="0" w:line="360" w:lineRule="auto"/>
        <w:ind w:hanging="11"/>
        <w:contextualSpacing/>
        <w:rPr>
          <w:rFonts w:ascii="Arial" w:hAnsi="Arial" w:cs="Arial"/>
          <w:b/>
          <w:bCs/>
        </w:rPr>
      </w:pPr>
      <w:r w:rsidRPr="009B01F3">
        <w:rPr>
          <w:rFonts w:ascii="Arial" w:hAnsi="Arial" w:cs="Arial"/>
          <w:b/>
          <w:bCs/>
        </w:rPr>
        <w:t>Key Responsibilities</w:t>
      </w:r>
    </w:p>
    <w:p w14:paraId="4F7E9800" w14:textId="77777777" w:rsidR="003C7633" w:rsidRPr="003C7633" w:rsidRDefault="003C7633" w:rsidP="009B01F3">
      <w:pPr>
        <w:spacing w:after="0" w:line="360" w:lineRule="auto"/>
        <w:ind w:hanging="11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● Leadership &amp; Governance</w:t>
      </w:r>
    </w:p>
    <w:p w14:paraId="469A0B9F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o Convene and chair meetings of the Neighbourhood Board.</w:t>
      </w:r>
    </w:p>
    <w:p w14:paraId="1EBCA184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o Lead the recruitment and selection of Board members, ensuring</w:t>
      </w:r>
    </w:p>
    <w:p w14:paraId="458CF4C2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diversity and inclusivity.</w:t>
      </w:r>
    </w:p>
    <w:p w14:paraId="4B968BF8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o Ensure the Board is resident-led, with a majority of members living or</w:t>
      </w:r>
    </w:p>
    <w:p w14:paraId="69848C99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working in the area.</w:t>
      </w:r>
    </w:p>
    <w:p w14:paraId="1D12ABD1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o Work collaboratively with the local MP and local authority to approve</w:t>
      </w:r>
    </w:p>
    <w:p w14:paraId="7056296B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Board membership.</w:t>
      </w:r>
    </w:p>
    <w:p w14:paraId="347FEC6D" w14:textId="77777777" w:rsidR="003C7633" w:rsidRPr="003C7633" w:rsidRDefault="003C7633" w:rsidP="009B01F3">
      <w:pPr>
        <w:spacing w:after="0" w:line="360" w:lineRule="auto"/>
        <w:ind w:hanging="11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● Community Engagement</w:t>
      </w:r>
    </w:p>
    <w:p w14:paraId="2A9DE37F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o Act as a visible champion for the neighbourhood, promoting pride and</w:t>
      </w:r>
    </w:p>
    <w:p w14:paraId="062D4712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participation.</w:t>
      </w:r>
    </w:p>
    <w:p w14:paraId="120C3F67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o Organise and oversee engagement activities (e.g., listening</w:t>
      </w:r>
    </w:p>
    <w:p w14:paraId="7AE91F4B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campaigns, workshops, forums).</w:t>
      </w:r>
    </w:p>
    <w:p w14:paraId="5C626805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o Ensure voices of underrepresented groups are actively included in</w:t>
      </w:r>
    </w:p>
    <w:p w14:paraId="463D77AF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decision-making.</w:t>
      </w:r>
    </w:p>
    <w:p w14:paraId="3F2555AF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o Evidence engagement activities to MHCLG as required.</w:t>
      </w:r>
    </w:p>
    <w:p w14:paraId="1654DDA3" w14:textId="77777777" w:rsidR="003C7633" w:rsidRPr="003C7633" w:rsidRDefault="003C7633" w:rsidP="009B01F3">
      <w:pPr>
        <w:spacing w:after="0" w:line="360" w:lineRule="auto"/>
        <w:ind w:hanging="11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● Strategic Planning</w:t>
      </w:r>
    </w:p>
    <w:p w14:paraId="50C77F7E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o Lead the Board in co-creating the Pride in Place Programme, setting a</w:t>
      </w:r>
    </w:p>
    <w:p w14:paraId="1072F758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10-year vision for the community.</w:t>
      </w:r>
    </w:p>
    <w:p w14:paraId="25879408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lastRenderedPageBreak/>
        <w:t>o Facilitate collaboration between residents, businesses, cultural</w:t>
      </w:r>
    </w:p>
    <w:p w14:paraId="5D46BF10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organisations, public agencies, and anchor institutions.</w:t>
      </w:r>
    </w:p>
    <w:p w14:paraId="7E1C9F93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o Ensure the Plan reflects local priorities and is informed by broad</w:t>
      </w:r>
    </w:p>
    <w:p w14:paraId="2B22D7A5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community input.</w:t>
      </w:r>
    </w:p>
    <w:p w14:paraId="72B7978D" w14:textId="77777777" w:rsidR="003C7633" w:rsidRPr="003C7633" w:rsidRDefault="003C7633" w:rsidP="009B01F3">
      <w:pPr>
        <w:spacing w:after="0" w:line="360" w:lineRule="auto"/>
        <w:ind w:hanging="11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● Partnership &amp; Representation</w:t>
      </w:r>
    </w:p>
    <w:p w14:paraId="083DE86C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o Build strong relationships with stakeholders including local businesses,</w:t>
      </w:r>
    </w:p>
    <w:p w14:paraId="4A0A35CD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charities, schools, healthcare providers, and faith groups.</w:t>
      </w:r>
    </w:p>
    <w:p w14:paraId="04BEC6A7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o Represent the Board in discussions with local authority, MPs, and</w:t>
      </w:r>
    </w:p>
    <w:p w14:paraId="25D7AB98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external partners.</w:t>
      </w:r>
    </w:p>
    <w:p w14:paraId="5DDE9F2A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o Promote transparency and accountability in Board activities.</w:t>
      </w:r>
    </w:p>
    <w:p w14:paraId="408CE9E5" w14:textId="77777777" w:rsidR="003C7633" w:rsidRPr="003C7633" w:rsidRDefault="003C7633" w:rsidP="009B01F3">
      <w:pPr>
        <w:spacing w:after="0" w:line="360" w:lineRule="auto"/>
        <w:ind w:hanging="11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● Essential Skills &amp; Experience</w:t>
      </w:r>
    </w:p>
    <w:p w14:paraId="78F5D5A6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o Proven leadership in community, civic, or organisational settings.</w:t>
      </w:r>
    </w:p>
    <w:p w14:paraId="0A122AE2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o Strong facilitation and communication skills, able to engage diverse</w:t>
      </w:r>
    </w:p>
    <w:p w14:paraId="7603D107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groups.</w:t>
      </w:r>
    </w:p>
    <w:p w14:paraId="0B76EAD7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o Commitment to inclusivity, fairness, and resident-led decision-making.</w:t>
      </w:r>
    </w:p>
    <w:p w14:paraId="6C1BDFCB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o Ability to build consensus and manage differing viewpoints.</w:t>
      </w:r>
    </w:p>
    <w:p w14:paraId="0465569A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o Understanding of local issues, challenges, and opportunities.</w:t>
      </w:r>
    </w:p>
    <w:p w14:paraId="3EB7FC21" w14:textId="77777777" w:rsidR="003C7633" w:rsidRPr="003C7633" w:rsidRDefault="003C7633" w:rsidP="009B01F3">
      <w:pPr>
        <w:spacing w:after="0" w:line="360" w:lineRule="auto"/>
        <w:ind w:hanging="11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● Desirable Skills &amp; Experience</w:t>
      </w:r>
    </w:p>
    <w:p w14:paraId="335061F2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o Experience in chairing boards, committees, or community groups.</w:t>
      </w:r>
    </w:p>
    <w:p w14:paraId="2DCA403B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o Knowledge of governance processes and public sector partnerships.</w:t>
      </w:r>
    </w:p>
    <w:p w14:paraId="430EDD91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o Track record of community organising, activism, or grassroots</w:t>
      </w:r>
    </w:p>
    <w:p w14:paraId="2C56DE1E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leadership.</w:t>
      </w:r>
    </w:p>
    <w:p w14:paraId="1B93E198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o Familiarity with local authority structures and political processes.</w:t>
      </w:r>
    </w:p>
    <w:p w14:paraId="13423CA5" w14:textId="77777777" w:rsidR="003C7633" w:rsidRPr="003C7633" w:rsidRDefault="003C7633" w:rsidP="009B01F3">
      <w:pPr>
        <w:spacing w:after="0" w:line="360" w:lineRule="auto"/>
        <w:ind w:hanging="11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● Term &amp; Appointment</w:t>
      </w:r>
    </w:p>
    <w:p w14:paraId="6F1D30CC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o Appointed and approved jointly by the local MP and local authority.</w:t>
      </w:r>
    </w:p>
    <w:p w14:paraId="4DE5FE6A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o Initially until 2030 with potential to extend</w:t>
      </w:r>
    </w:p>
    <w:p w14:paraId="0B5E0F8A" w14:textId="77777777" w:rsidR="003C7633" w:rsidRPr="003C7633" w:rsidRDefault="003C7633" w:rsidP="009B01F3">
      <w:pPr>
        <w:spacing w:after="0" w:line="360" w:lineRule="auto"/>
        <w:ind w:hanging="11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● Outcomes &amp; Impact</w:t>
      </w:r>
    </w:p>
    <w:p w14:paraId="3286CB3E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o A diverse, inclusive, and representative Neighbourhood Board.</w:t>
      </w:r>
    </w:p>
    <w:p w14:paraId="782FE682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o A co-created Pride in Place Plan that reflects community aspirations.</w:t>
      </w:r>
    </w:p>
    <w:p w14:paraId="60AAF306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o Strengthened trust between residents, local institutions, and elected</w:t>
      </w:r>
    </w:p>
    <w:p w14:paraId="193A194E" w14:textId="77777777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representatives.</w:t>
      </w:r>
    </w:p>
    <w:p w14:paraId="287AFB53" w14:textId="64E97CEE" w:rsidR="003C7633" w:rsidRPr="003C7633" w:rsidRDefault="003C7633" w:rsidP="009B01F3">
      <w:pPr>
        <w:spacing w:after="0" w:line="360" w:lineRule="auto"/>
        <w:ind w:firstLine="720"/>
        <w:contextualSpacing/>
        <w:rPr>
          <w:rFonts w:ascii="Arial" w:hAnsi="Arial" w:cs="Arial"/>
        </w:rPr>
      </w:pPr>
      <w:r w:rsidRPr="003C7633">
        <w:rPr>
          <w:rFonts w:ascii="Arial" w:hAnsi="Arial" w:cs="Arial"/>
        </w:rPr>
        <w:t>o Evidenced community</w:t>
      </w:r>
    </w:p>
    <w:sectPr w:rsidR="003C7633" w:rsidRPr="003C763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417C4" w14:textId="77777777" w:rsidR="003C7633" w:rsidRDefault="003C7633" w:rsidP="003C7633">
      <w:pPr>
        <w:spacing w:after="0" w:line="240" w:lineRule="auto"/>
      </w:pPr>
      <w:r>
        <w:separator/>
      </w:r>
    </w:p>
  </w:endnote>
  <w:endnote w:type="continuationSeparator" w:id="0">
    <w:p w14:paraId="6DA4CF34" w14:textId="77777777" w:rsidR="003C7633" w:rsidRDefault="003C7633" w:rsidP="003C7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8391A" w14:textId="77777777" w:rsidR="003C7633" w:rsidRDefault="003C7633" w:rsidP="003C7633">
      <w:pPr>
        <w:spacing w:after="0" w:line="240" w:lineRule="auto"/>
      </w:pPr>
      <w:r>
        <w:separator/>
      </w:r>
    </w:p>
  </w:footnote>
  <w:footnote w:type="continuationSeparator" w:id="0">
    <w:p w14:paraId="26CAF986" w14:textId="77777777" w:rsidR="003C7633" w:rsidRDefault="003C7633" w:rsidP="003C7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65BB2" w14:textId="28B7D66D" w:rsidR="003C7633" w:rsidRDefault="002354A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E6637D" wp14:editId="2A5042BF">
          <wp:simplePos x="0" y="0"/>
          <wp:positionH relativeFrom="column">
            <wp:posOffset>444500</wp:posOffset>
          </wp:positionH>
          <wp:positionV relativeFrom="paragraph">
            <wp:posOffset>-144780</wp:posOffset>
          </wp:positionV>
          <wp:extent cx="2916555" cy="927100"/>
          <wp:effectExtent l="0" t="0" r="0" b="6350"/>
          <wp:wrapTight wrapText="bothSides">
            <wp:wrapPolygon edited="0">
              <wp:start x="0" y="0"/>
              <wp:lineTo x="0" y="21304"/>
              <wp:lineTo x="21445" y="21304"/>
              <wp:lineTo x="21445" y="0"/>
              <wp:lineTo x="0" y="0"/>
            </wp:wrapPolygon>
          </wp:wrapTight>
          <wp:docPr id="15760687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6555" cy="927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D48660C" wp14:editId="70F81DCF">
          <wp:simplePos x="0" y="0"/>
          <wp:positionH relativeFrom="column">
            <wp:posOffset>-520700</wp:posOffset>
          </wp:positionH>
          <wp:positionV relativeFrom="paragraph">
            <wp:posOffset>-55880</wp:posOffset>
          </wp:positionV>
          <wp:extent cx="841375" cy="704850"/>
          <wp:effectExtent l="0" t="0" r="0" b="0"/>
          <wp:wrapTight wrapText="bothSides">
            <wp:wrapPolygon edited="0">
              <wp:start x="8803" y="0"/>
              <wp:lineTo x="0" y="3503"/>
              <wp:lineTo x="0" y="17514"/>
              <wp:lineTo x="3912" y="18681"/>
              <wp:lineTo x="3912" y="21016"/>
              <wp:lineTo x="17606" y="21016"/>
              <wp:lineTo x="17606" y="18681"/>
              <wp:lineTo x="21029" y="17514"/>
              <wp:lineTo x="21029" y="3503"/>
              <wp:lineTo x="12226" y="0"/>
              <wp:lineTo x="8803" y="0"/>
            </wp:wrapPolygon>
          </wp:wrapTight>
          <wp:docPr id="1070812523" name="Picture 1" descr="A white flower with blue and green lines and w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white flower with blue and green lines and wav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CDA40A1" wp14:editId="4D5DD398">
          <wp:simplePos x="0" y="0"/>
          <wp:positionH relativeFrom="column">
            <wp:posOffset>3454400</wp:posOffset>
          </wp:positionH>
          <wp:positionV relativeFrom="paragraph">
            <wp:posOffset>-130175</wp:posOffset>
          </wp:positionV>
          <wp:extent cx="2961005" cy="821690"/>
          <wp:effectExtent l="0" t="0" r="0" b="0"/>
          <wp:wrapTight wrapText="bothSides">
            <wp:wrapPolygon edited="0">
              <wp:start x="0" y="0"/>
              <wp:lineTo x="0" y="21032"/>
              <wp:lineTo x="21401" y="21032"/>
              <wp:lineTo x="21401" y="0"/>
              <wp:lineTo x="0" y="0"/>
            </wp:wrapPolygon>
          </wp:wrapTight>
          <wp:docPr id="15174658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100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33"/>
    <w:rsid w:val="00064779"/>
    <w:rsid w:val="000A56DF"/>
    <w:rsid w:val="002354AA"/>
    <w:rsid w:val="003C7633"/>
    <w:rsid w:val="00452708"/>
    <w:rsid w:val="00510842"/>
    <w:rsid w:val="007F68A3"/>
    <w:rsid w:val="009B01F3"/>
    <w:rsid w:val="009C78B4"/>
    <w:rsid w:val="00AE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43CF7ECB"/>
  <w15:chartTrackingRefBased/>
  <w15:docId w15:val="{69E1F595-A663-40B1-987A-E83CB755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6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6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6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6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6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6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6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6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6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6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6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6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6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6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6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6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63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7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33"/>
  </w:style>
  <w:style w:type="paragraph" w:styleId="Footer">
    <w:name w:val="footer"/>
    <w:basedOn w:val="Normal"/>
    <w:link w:val="FooterChar"/>
    <w:uiPriority w:val="99"/>
    <w:unhideWhenUsed/>
    <w:rsid w:val="003C7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33"/>
  </w:style>
  <w:style w:type="character" w:styleId="CommentReference">
    <w:name w:val="annotation reference"/>
    <w:basedOn w:val="DefaultParagraphFont"/>
    <w:uiPriority w:val="99"/>
    <w:semiHidden/>
    <w:unhideWhenUsed/>
    <w:rsid w:val="005108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08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08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597</Words>
  <Characters>3539</Characters>
  <Application>Microsoft Office Word</Application>
  <DocSecurity>0</DocSecurity>
  <Lines>104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Bishop, Hayley</dc:creator>
  <cp:keywords/>
  <dc:description/>
  <cp:lastModifiedBy>Bishop, Hayley</cp:lastModifiedBy>
  <cp:revision>3</cp:revision>
  <dcterms:created xsi:type="dcterms:W3CDTF">2026-02-02T12:27:00Z</dcterms:created>
  <dcterms:modified xsi:type="dcterms:W3CDTF">2026-02-05T08:27:00Z</dcterms:modified>
</cp:coreProperties>
</file>